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年度工资分配信息披露公告</w:t>
      </w:r>
    </w:p>
    <w:bookmarkEnd w:id="0"/>
    <w:p>
      <w:pPr>
        <w:spacing w:line="320" w:lineRule="exact"/>
        <w:jc w:val="center"/>
        <w:rPr>
          <w:rFonts w:ascii="楷体_GB2312" w:hAnsi="黑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3" w:firstLineChars="198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根据《海南省人民政府关于改革国有企业工资决定机制的实施意见》及《海南省省属企业改革工资决定机制实施办法》的规定，现将本公司202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年度工资分配信息披露如下：</w:t>
      </w:r>
    </w:p>
    <w:p>
      <w:pPr>
        <w:spacing w:line="320" w:lineRule="exact"/>
        <w:ind w:firstLine="554" w:firstLineChars="198"/>
        <w:rPr>
          <w:rFonts w:ascii="仿宋_GB2312" w:eastAsia="仿宋_GB2312"/>
          <w:sz w:val="28"/>
          <w:szCs w:val="28"/>
        </w:rPr>
      </w:pPr>
    </w:p>
    <w:tbl>
      <w:tblPr>
        <w:tblStyle w:val="3"/>
        <w:tblW w:w="8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800"/>
        <w:gridCol w:w="1765"/>
        <w:gridCol w:w="1559"/>
        <w:gridCol w:w="1418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工资总额预算管理周期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履行出资人职责机构确定的工资总额上限数（万元）</w:t>
            </w:r>
          </w:p>
        </w:tc>
        <w:tc>
          <w:tcPr>
            <w:tcW w:w="176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财务报表的应付工资总额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职工年平均工资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（元/年）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职工平均工资比上年增长（%）</w:t>
            </w:r>
          </w:p>
        </w:tc>
        <w:tc>
          <w:tcPr>
            <w:tcW w:w="73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26,215.12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25,531.27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77,367.49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-5.32%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jc w:val="center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海南省建设投资集团有限公司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72BB3"/>
    <w:rsid w:val="003A6405"/>
    <w:rsid w:val="02572BB3"/>
    <w:rsid w:val="0D1766B1"/>
    <w:rsid w:val="2E2A6041"/>
    <w:rsid w:val="2F2719F2"/>
    <w:rsid w:val="33544EF3"/>
    <w:rsid w:val="3C624AA4"/>
    <w:rsid w:val="40197CB5"/>
    <w:rsid w:val="5BED02B9"/>
    <w:rsid w:val="63752A92"/>
    <w:rsid w:val="67331E81"/>
    <w:rsid w:val="69FB188A"/>
    <w:rsid w:val="7AE0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2023-11-10T07:04:00Z</dcterms:created>
  <dc:creator>唐浩崇</dc:creator>
  <cp:lastModifiedBy>唐浩崇</cp:lastModifiedBy>
  <dcterms:modified xsi:type="dcterms:W3CDTF">2023-11-10T07:04:49Z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